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/>
      </w:pPr>
      <w:r>
        <w:rPr>
          <w:b/>
          <w:bCs/>
          <w:sz w:val="28"/>
          <w:szCs w:val="28"/>
        </w:rPr>
        <w:t>ОСВІТНЯ СКЛАДОВА ОСВІТНЬО-НАУКОВОЇ ПРОГРАМИ</w:t>
      </w:r>
    </w:p>
    <w:p>
      <w:pPr>
        <w:pStyle w:val="Normal"/>
        <w:autoSpaceDE w:val="false"/>
        <w:jc w:val="center"/>
        <w:rPr/>
      </w:pPr>
      <w:r>
        <w:rPr>
          <w:b/>
          <w:bCs/>
          <w:sz w:val="28"/>
          <w:szCs w:val="28"/>
        </w:rPr>
        <w:t>1. Профіль програми доктора філософії</w:t>
      </w:r>
    </w:p>
    <w:p>
      <w:pPr>
        <w:pStyle w:val="Normal"/>
        <w:autoSpaceDE w:val="false"/>
        <w:jc w:val="center"/>
        <w:rPr/>
      </w:pPr>
      <w:r>
        <w:rPr>
          <w:b/>
          <w:bCs/>
          <w:sz w:val="28"/>
          <w:szCs w:val="28"/>
        </w:rPr>
        <w:t xml:space="preserve">з галузі знань 10 </w:t>
      </w:r>
      <w:r>
        <w:rPr>
          <w:b/>
          <w:bCs/>
          <w:i/>
          <w:iCs/>
          <w:color w:val="000000"/>
          <w:sz w:val="28"/>
          <w:szCs w:val="28"/>
        </w:rPr>
        <w:t>Природничі науки</w:t>
      </w:r>
    </w:p>
    <w:p>
      <w:pPr>
        <w:pStyle w:val="Normal"/>
        <w:autoSpaceDE w:val="false"/>
        <w:jc w:val="center"/>
        <w:rPr/>
      </w:pPr>
      <w:r>
        <w:rPr>
          <w:b/>
          <w:bCs/>
          <w:sz w:val="28"/>
          <w:szCs w:val="28"/>
        </w:rPr>
        <w:t xml:space="preserve">за спеціальністю 104 </w:t>
      </w:r>
      <w:r>
        <w:rPr>
          <w:rFonts w:cs="Arial" w:ascii="Arial" w:hAnsi="Arial"/>
          <w:b/>
          <w:i/>
          <w:sz w:val="28"/>
          <w:szCs w:val="28"/>
        </w:rPr>
        <w:t>Ф</w:t>
      </w:r>
      <w:r>
        <w:rPr>
          <w:rFonts w:cs="Arial" w:ascii="Arial" w:hAnsi="Arial"/>
          <w:b/>
          <w:i/>
          <w:sz w:val="28"/>
          <w:szCs w:val="28"/>
          <w:lang w:val="uk-UA"/>
        </w:rPr>
        <w:t>ізика та астрономія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tbl>
      <w:tblPr>
        <w:tblW w:w="986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8"/>
        <w:gridCol w:w="7055"/>
      </w:tblGrid>
      <w:tr>
        <w:trPr/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 Light;Arial" w:hAnsi="Calibri Light;Arial" w:cs="Calibri Light;Arial"/>
                <w:b/>
                <w:b/>
                <w:b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bCs/>
                <w:lang w:val="uk-UA"/>
              </w:rPr>
              <w:t>1 – Загальна інформація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i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Інститут фізики конденсованих систем НАН України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Calibri Light;Arial" w:hAnsi="Calibri Light;Arial" w:cs="Calibri Light;Arial"/>
                <w:b/>
                <w:b/>
                <w:i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Повна назва кваліфікації мовою оригіналу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lang w:val="uk-UA"/>
              </w:rPr>
              <w:t>Доктор філософії зі спеціальності «Фізика та астрономія»</w:t>
            </w:r>
          </w:p>
          <w:p>
            <w:pPr>
              <w:pStyle w:val="Normal"/>
              <w:rPr/>
            </w:pPr>
            <w:r>
              <w:rPr>
                <w:b/>
                <w:lang w:val="en-US"/>
              </w:rPr>
              <w:t>Doctor of Philosophy in Natural Sciences on Physics and Astronomy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Офіційна назва освітньо-наукової програми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Фізика</w:t>
            </w:r>
            <w:r>
              <w:rPr>
                <w:lang w:val="en-US"/>
              </w:rPr>
              <w:t xml:space="preserve"> </w:t>
            </w:r>
            <w:r>
              <w:rPr/>
              <w:t>та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астрономія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 xml:space="preserve">Physics and </w:t>
            </w:r>
            <w:r>
              <w:rPr>
                <w:lang w:val="uk-UA"/>
              </w:rPr>
              <w:t>Astronomy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i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Тип диплому та обсяг освітньої програми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Диплом доктора філософії, одиничний, 40 кредитів ЄКТС освітньої складової освітньо-наукової програми, термін освітньої складової освітньо-наукової програми 2 роки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i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Цикл/рівень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НРК України – 8 рівень,  FQ-EHEA – третій цикл, ЕQF-LLL – 8 рівень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i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Передумови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Рівень вищої освіти «Магістр»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i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Мова(и) викладання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>
        <w:trPr>
          <w:trHeight w:val="920" w:hRule="atLeast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lang w:val="uk-UA"/>
              </w:rPr>
              <w:t>Основні поняття та їх визначення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В освітньо-науковій програмі використано основні поняття та їх визначення відповідно до Закону України «Про вищу освіту» від 01.07.2014 р. № 1556-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 xml:space="preserve"> зі змінами та доповненнями, Закону України «Про наукову і науково-технічну діяльність» від 26.11.2015 р. № 848-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 xml:space="preserve">І зі змінами та доповненнями, Порядку </w:t>
            </w:r>
            <w:r>
              <w:rPr>
                <w:color w:val="000000"/>
                <w:shd w:fill="FFFFFF" w:val="clear"/>
                <w:lang w:val="uk-UA"/>
              </w:rPr>
              <w:t>підготовки здобувачів вищої освіти ступеня доктора філософії та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hd w:fill="FFFFFF" w:val="clear"/>
                <w:lang w:val="uk-UA"/>
              </w:rPr>
              <w:t>доктора наук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hd w:fill="FFFFFF" w:val="clear"/>
                <w:lang w:val="uk-UA"/>
              </w:rPr>
              <w:t xml:space="preserve">у вищих навчальних закладах (наукових установах), затвердженого Постановою </w:t>
            </w:r>
            <w:r>
              <w:rPr>
                <w:color w:val="000000"/>
                <w:shd w:fill="FFFFFF" w:val="clear"/>
              </w:rPr>
              <w:t xml:space="preserve">Кабінету Міністрів від 23.03.2016 р. № 261 </w:t>
            </w:r>
            <w:r>
              <w:rPr>
                <w:rFonts w:cs="Verdana" w:ascii="Verdana" w:hAnsi="Verdana"/>
                <w:color w:val="000000"/>
                <w:sz w:val="16"/>
                <w:szCs w:val="16"/>
                <w:shd w:fill="FFFFFF" w:val="clear"/>
              </w:rPr>
              <w:t xml:space="preserve"> </w:t>
            </w:r>
          </w:p>
        </w:tc>
      </w:tr>
      <w:tr>
        <w:trPr/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 Light;Arial" w:ascii="Calibri Light;Arial" w:hAnsi="Calibri Light;Arial"/>
                <w:b/>
                <w:lang w:val="uk-UA"/>
              </w:rPr>
              <w:t>2 – Мета освітньо-наукової програми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 Light;Arial" w:hAnsi="Calibri Light;Arial" w:cs="Calibri Light;Arial"/>
                <w:b/>
                <w:b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lang w:val="uk-UA"/>
              </w:rPr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Поглибити теоретичні знання та практичні уміння і навики у галузі природничих наук за спеціальністю фізика та астрономія, розвинути філософські та мовні компетентності, сформувати універсальні навики дослідника, достатні для проведення та успішного завершення наукового дослідження і подальшої професійної і наукової діяльності</w:t>
            </w:r>
          </w:p>
        </w:tc>
      </w:tr>
      <w:tr>
        <w:trPr/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 Light;Arial" w:ascii="Calibri Light;Arial" w:hAnsi="Calibri Light;Arial"/>
                <w:b/>
                <w:bCs/>
                <w:lang w:val="uk-UA"/>
              </w:rPr>
              <w:t>3 - Характеристика освітньо-наукової програми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Calibri Light;Arial" w:hAnsi="Calibri Light;Arial" w:cs="Calibri Light;Arial"/>
                <w:b/>
                <w:b/>
                <w:i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Предметна область (галузь знань, спеціальність)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Галузь знань 10 </w:t>
            </w:r>
            <w:r>
              <w:rPr>
                <w:i/>
              </w:rPr>
              <w:t>Природничі науки</w:t>
            </w:r>
            <w:r>
              <w:rPr>
                <w:i/>
                <w:lang w:val="uk-UA"/>
              </w:rPr>
              <w:t xml:space="preserve">, </w:t>
            </w:r>
            <w:r>
              <w:rPr>
                <w:lang w:val="uk-UA"/>
              </w:rPr>
              <w:t>спеціальність 104</w:t>
            </w:r>
            <w:r>
              <w:rPr>
                <w:i/>
              </w:rPr>
              <w:t xml:space="preserve">  </w:t>
            </w:r>
            <w:r>
              <w:rPr>
                <w:i/>
                <w:lang w:val="uk-UA"/>
              </w:rPr>
              <w:t>Ф</w:t>
            </w:r>
            <w:r>
              <w:rPr>
                <w:i/>
              </w:rPr>
              <w:t>ізика та а</w:t>
            </w:r>
            <w:r>
              <w:rPr>
                <w:i/>
                <w:lang w:val="uk-UA"/>
              </w:rPr>
              <w:t>строномія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rPr/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Орієнтація освітньо-наукової програми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pacing w:val="-6"/>
                <w:lang w:val="uk-UA"/>
              </w:rPr>
              <w:t>Освітньо-наукова програма ґрунтується на фундаментальних розділах сучасної фізики та результатах сучасних наукових досліджень у сфері теоретичної фізики, фізики конденсованого стану та м’якої речовини. П</w:t>
            </w:r>
            <w:r>
              <w:rPr>
                <w:lang w:val="uk-UA"/>
              </w:rPr>
              <w:t xml:space="preserve">рограма спрямована на набуття необхідних дослідницьких навиків для наукової кар’єри, викладання спеціальних дисциплін в області фізики та фізичної хімії, розроблення нових програмних продуктів для комп’ютерного моделювання фізико-хімічних процесів </w:t>
            </w:r>
            <w:r>
              <w:rPr>
                <w:spacing w:val="-6"/>
                <w:lang w:val="uk-UA"/>
              </w:rPr>
              <w:t>і забезпечує підґрунтя для проведення самостійних наукових досліджень та подальшого зростання в науковій діяльності.</w:t>
            </w:r>
          </w:p>
        </w:tc>
      </w:tr>
      <w:tr>
        <w:trPr>
          <w:trHeight w:val="609" w:hRule="atLeast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  <w:tab w:val="left" w:pos="851" w:leader="none"/>
              </w:tabs>
              <w:rPr/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Особливості програми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pacing w:val="-6"/>
                <w:lang w:val="uk-UA"/>
              </w:rPr>
              <w:t>Освітньо-наукова</w:t>
            </w:r>
            <w:r>
              <w:rPr>
                <w:color w:val="000000"/>
                <w:lang w:val="uk-UA"/>
              </w:rPr>
              <w:t xml:space="preserve"> програма охоплює широке коло сучасних напрямків теоретичної фізии і методик комп’ютерного моделювання у фізиці та фізичній хімії, що формує актуалізовану теоретико-прикладну базу для проведення наукових досліджень.</w:t>
            </w:r>
          </w:p>
        </w:tc>
      </w:tr>
      <w:tr>
        <w:trPr/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 Light;Arial" w:hAnsi="Calibri Light;Arial" w:cs="Calibri Light;Arial"/>
                <w:b/>
                <w:b/>
                <w:b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bCs/>
                <w:lang w:val="uk-UA"/>
              </w:rPr>
              <w:t xml:space="preserve">4 – Придатність випускників освітньої програми </w:t>
            </w:r>
          </w:p>
          <w:p>
            <w:pPr>
              <w:pStyle w:val="Normal"/>
              <w:jc w:val="center"/>
              <w:rPr>
                <w:rFonts w:ascii="Calibri Light;Arial" w:hAnsi="Calibri Light;Arial" w:cs="Calibri Light;Arial"/>
                <w:b/>
                <w:b/>
                <w:b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bCs/>
                <w:lang w:val="uk-UA"/>
              </w:rPr>
              <w:t>до працевлаштування та подальшого навчання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i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Придатність до працевлаштування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 xml:space="preserve">Робочі місця у державних та приватних вищих навчальних закладах, наукових і науково-дослідних установах на посадах викладачів та дослідників, на підприємствах </w:t>
            </w:r>
            <w:r>
              <w:rPr>
                <w:lang w:val="uk-UA"/>
              </w:rPr>
              <w:t>і</w:t>
            </w:r>
            <w:r>
              <w:rPr/>
              <w:t xml:space="preserve"> в організаціях різних видів діяльності та форм власності на керівних посадах</w:t>
            </w:r>
            <w:r>
              <w:rPr>
                <w:lang w:val="uk-UA"/>
              </w:rPr>
              <w:t>.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i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Подальше навчання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pacing w:val="-6"/>
              </w:rPr>
              <w:t>Виконання наукової</w:t>
            </w:r>
            <w:r>
              <w:rPr/>
              <w:t xml:space="preserve"> програми четвертого (наукового) рівня вищої освіти для здобуття ступеня вищої освіти доктор наук</w:t>
            </w:r>
            <w:r>
              <w:rPr>
                <w:lang w:val="uk-UA"/>
              </w:rPr>
              <w:t>.</w:t>
            </w:r>
          </w:p>
        </w:tc>
      </w:tr>
      <w:tr>
        <w:trPr/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 Light;Arial" w:hAnsi="Calibri Light;Arial" w:cs="Calibri Light;Arial"/>
                <w:b/>
                <w:b/>
                <w:b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bCs/>
                <w:lang w:val="uk-UA"/>
              </w:rPr>
              <w:t>5 – Викладання та оцінювання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i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Викладання та навчання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pacing w:val="-6"/>
                <w:lang w:val="uk-UA"/>
              </w:rPr>
              <w:t>Поєднання лекційних, лабораторних та практичних занять, педагогічного практикуму, консультування наукового керівника та спілкування з науково-педагогічною спільнотою із самостійною науково-навчальною роботою.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i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Оцінювання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pacing w:val="-6"/>
              </w:rPr>
            </w:pPr>
            <w:r>
              <w:rPr>
                <w:spacing w:val="-6"/>
              </w:rPr>
              <w:t>Екзамени, заліки, поточний контроль</w:t>
            </w:r>
            <w:r>
              <w:rPr>
                <w:spacing w:val="-6"/>
                <w:lang w:val="uk-UA"/>
              </w:rPr>
              <w:t>.</w:t>
            </w:r>
          </w:p>
        </w:tc>
      </w:tr>
      <w:tr>
        <w:trPr/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 Light;Arial" w:hAnsi="Calibri Light;Arial" w:cs="Calibri Light;Arial"/>
                <w:b/>
                <w:b/>
                <w:b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bCs/>
                <w:lang w:val="uk-UA"/>
              </w:rPr>
              <w:t>6 – Програмні компетентності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Інтегральна компетентність (ІНТ)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Здатність продукувати інноваційні наукові ідеї, оволодіти методологією наукової та педагогічної діяльності, вирішувати комплексні проблеми в процесі інноваційно-дослідницької та професійної діяльності, проводити оригінальні наукові дослідження на національному та світовому рівні</w:t>
            </w:r>
            <w:r>
              <w:rPr>
                <w:color w:val="000000"/>
                <w:shd w:fill="FFFFFF" w:val="clear"/>
                <w:lang w:val="uk-UA"/>
              </w:rPr>
              <w:t>.</w:t>
            </w:r>
          </w:p>
        </w:tc>
      </w:tr>
      <w:tr>
        <w:trPr>
          <w:trHeight w:val="3372" w:hRule="atLeast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Загальні компетентності (ЗК)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432" w:leader="none"/>
              </w:tabs>
              <w:ind w:left="432" w:hanging="360"/>
              <w:jc w:val="both"/>
              <w:rPr/>
            </w:pPr>
            <w:r>
              <w:rPr>
                <w:color w:val="000000"/>
                <w:shd w:fill="FFFFFF" w:val="clear"/>
                <w:lang w:val="uk-UA"/>
              </w:rPr>
              <w:t>глибинні знання сучасних методів проведення досліджень у галузі  фізики і астрономії та суміжних галузях</w:t>
            </w:r>
            <w:r>
              <w:rPr>
                <w:color w:val="000000"/>
                <w:lang w:val="uk-UA"/>
              </w:rPr>
              <w:t>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32" w:leader="none"/>
              </w:tabs>
              <w:ind w:left="432" w:hanging="360"/>
              <w:jc w:val="both"/>
              <w:rPr/>
            </w:pPr>
            <w:r>
              <w:rPr>
                <w:color w:val="000000"/>
                <w:shd w:fill="FFFFFF" w:val="clear"/>
                <w:lang w:val="uk-UA"/>
              </w:rPr>
              <w:t>критичний аналіз, оцінка і генерування нових ідей</w:t>
            </w:r>
            <w:r>
              <w:rPr>
                <w:color w:val="000000"/>
                <w:lang w:val="uk-UA"/>
              </w:rPr>
              <w:t>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32" w:leader="none"/>
              </w:tabs>
              <w:ind w:left="432" w:hanging="360"/>
              <w:jc w:val="both"/>
              <w:rPr/>
            </w:pPr>
            <w:r>
              <w:rPr>
                <w:color w:val="000000"/>
                <w:spacing w:val="-1"/>
                <w:lang w:val="uk-UA"/>
              </w:rPr>
              <w:t xml:space="preserve">уміння </w:t>
            </w:r>
            <w:r>
              <w:rPr>
                <w:lang w:val="uk-UA"/>
              </w:rPr>
              <w:t xml:space="preserve">ефективно спілкуватися </w:t>
            </w:r>
            <w:r>
              <w:rPr>
                <w:color w:val="000000"/>
                <w:shd w:fill="FFFFFF" w:val="clear"/>
                <w:lang w:val="uk-UA"/>
              </w:rPr>
              <w:t>з інтернаціональною науковою спільнотою та громадськістю з актуальних питань фізики і астрономії;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32" w:leader="none"/>
              </w:tabs>
              <w:ind w:left="432" w:hanging="360"/>
              <w:jc w:val="both"/>
              <w:rPr/>
            </w:pPr>
            <w:r>
              <w:rPr>
                <w:color w:val="000000"/>
                <w:shd w:fill="FFFFFF" w:val="clear"/>
                <w:lang w:val="uk-UA"/>
              </w:rPr>
              <w:t>здатність саморозвиватися і самовдосконалюватися протягом життя, компетентність навчати студентів бакалаврського освітнього рівня на практичних та лабораторних роботах;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32" w:leader="none"/>
              </w:tabs>
              <w:ind w:left="432" w:hanging="360"/>
              <w:jc w:val="both"/>
              <w:rPr/>
            </w:pPr>
            <w:r>
              <w:rPr>
                <w:color w:val="000000"/>
                <w:shd w:fill="FFFFFF" w:val="clear"/>
                <w:lang w:val="uk-UA"/>
              </w:rPr>
              <w:t>уміння використовувати комп’</w:t>
            </w:r>
            <w:r>
              <w:rPr>
                <w:color w:val="000000"/>
                <w:shd w:fill="FFFFFF" w:val="clear"/>
              </w:rPr>
              <w:t>ютерне моделювання для аналізу та верифікації</w:t>
            </w:r>
            <w:r>
              <w:rPr>
                <w:color w:val="000000"/>
                <w:shd w:fill="FFFFFF" w:val="clear"/>
                <w:lang w:val="uk-UA"/>
              </w:rPr>
              <w:t xml:space="preserve"> нових наукових проблем</w:t>
            </w:r>
            <w:r>
              <w:rPr>
                <w:color w:val="000000"/>
                <w:lang w:val="uk-UA"/>
              </w:rPr>
              <w:t>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32" w:leader="none"/>
              </w:tabs>
              <w:ind w:left="432" w:hanging="360"/>
              <w:jc w:val="both"/>
              <w:rPr/>
            </w:pPr>
            <w:r>
              <w:rPr>
                <w:color w:val="000000"/>
                <w:shd w:fill="FFFFFF" w:val="clear"/>
                <w:lang w:val="uk-UA"/>
              </w:rPr>
              <w:t>здатність пропонувати та виконувати оригінальні дослідницько-інноваційні проекти;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432" w:leader="none"/>
              </w:tabs>
              <w:ind w:left="432" w:hanging="360"/>
              <w:jc w:val="both"/>
              <w:rPr/>
            </w:pPr>
            <w:r>
              <w:rPr>
                <w:color w:val="000000"/>
                <w:shd w:fill="FFFFFF" w:val="clear"/>
                <w:lang w:val="uk-UA"/>
              </w:rPr>
              <w:t>лідерство та здатність як автономної, так і командної роботи під час реалізації проектів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Спеціальні (фахові) компетентності (ФК)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432" w:leader="none"/>
              </w:tabs>
              <w:ind w:left="432" w:hanging="360"/>
              <w:jc w:val="both"/>
              <w:rPr/>
            </w:pPr>
            <w:r>
              <w:rPr>
                <w:color w:val="000000"/>
                <w:lang w:val="uk-UA"/>
              </w:rPr>
              <w:t xml:space="preserve">знання про сучасні тенденції розвитку і найбільш важливі нові наукові досягнення в області </w:t>
            </w:r>
            <w:r>
              <w:rPr>
                <w:color w:val="000000"/>
                <w:shd w:fill="FFFFFF" w:val="clear"/>
                <w:lang w:val="uk-UA"/>
              </w:rPr>
              <w:t>фізики і астрономії</w:t>
            </w:r>
            <w:r>
              <w:rPr>
                <w:color w:val="000000"/>
                <w:lang w:val="uk-UA"/>
              </w:rPr>
              <w:t>, а також суміжних областях;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32" w:leader="none"/>
              </w:tabs>
              <w:ind w:left="432" w:hanging="360"/>
              <w:jc w:val="both"/>
              <w:rPr/>
            </w:pPr>
            <w:r>
              <w:rPr>
                <w:color w:val="000000"/>
                <w:lang w:val="uk-UA"/>
              </w:rPr>
              <w:t xml:space="preserve">систематичні знання і розуміння сучасних наукових теорій і методів, та вміння їх ефективно застосовувати для аналізу проблем та </w:t>
            </w:r>
            <w:r>
              <w:rPr>
                <w:color w:val="000000"/>
                <w:shd w:fill="FFFFFF" w:val="clear"/>
                <w:lang w:val="uk-UA"/>
              </w:rPr>
              <w:t xml:space="preserve">задач фізики і фізичної хімії </w:t>
            </w:r>
            <w:r>
              <w:rPr>
                <w:color w:val="000000"/>
                <w:lang w:val="uk-UA"/>
              </w:rPr>
              <w:t xml:space="preserve">;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32" w:leader="none"/>
              </w:tabs>
              <w:ind w:left="432" w:hanging="360"/>
              <w:jc w:val="both"/>
              <w:rPr/>
            </w:pPr>
            <w:r>
              <w:rPr>
                <w:color w:val="000000"/>
                <w:lang w:val="uk-UA"/>
              </w:rPr>
              <w:t>здатність</w:t>
            </w:r>
            <w:r>
              <w:rPr>
                <w:lang w:val="uk-UA"/>
              </w:rPr>
              <w:t xml:space="preserve"> ефективно застосовувати методи аналізу, математичне моделювання, виконувати фізичні та комп’</w:t>
            </w:r>
            <w:r>
              <w:rPr/>
              <w:t>ютерн</w:t>
            </w:r>
            <w:r>
              <w:rPr>
                <w:lang w:val="uk-UA"/>
              </w:rPr>
              <w:t>і експерименти при проведенні наукових досліджень;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32" w:leader="none"/>
              </w:tabs>
              <w:ind w:left="432" w:hanging="36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здатність інтегрувати знання з інших дисциплін,</w:t>
            </w:r>
            <w:r>
              <w:rPr>
                <w:lang w:val="uk-UA"/>
              </w:rPr>
              <w:t xml:space="preserve"> застосовувати системний підхід та враховувати нетехнічні аспекти при розв’язанні наукових задач та проведенні досліджень;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32" w:leader="none"/>
              </w:tabs>
              <w:ind w:left="432" w:hanging="360"/>
              <w:jc w:val="both"/>
              <w:rPr>
                <w:lang w:val="uk-UA"/>
              </w:rPr>
            </w:pPr>
            <w:r>
              <w:rPr>
                <w:color w:val="000000"/>
                <w:shd w:fill="FFFFFF" w:val="clear"/>
                <w:lang w:val="uk-UA"/>
              </w:rPr>
              <w:t>здатність розробляти та реалізовувати проекти, включаючи власні дослідження, які дають можливість переосмислювати наявні чи створювати нові знання</w:t>
            </w:r>
            <w:r>
              <w:rPr>
                <w:lang w:val="uk-UA"/>
              </w:rPr>
              <w:t>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32" w:leader="none"/>
              </w:tabs>
              <w:ind w:left="432" w:hanging="360"/>
              <w:jc w:val="both"/>
              <w:rPr/>
            </w:pPr>
            <w:r>
              <w:rPr>
                <w:color w:val="000000"/>
                <w:lang w:val="uk-UA"/>
              </w:rPr>
              <w:t>здатність аргументувати вибір методу розв’язування спеціалізованої задачі,</w:t>
            </w:r>
            <w:r>
              <w:rPr>
                <w:rFonts w:cs="TimesNewRomanPSMT" w:ascii="TimesNewRomanPSMT" w:hAnsi="TimesNewRomanPSMT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критично оцінювати отримані результати</w:t>
            </w:r>
            <w:r>
              <w:rPr>
                <w:rFonts w:cs="TimesNewRomanPSMT" w:ascii="TimesNewRomanPSMT" w:hAnsi="TimesNewRomanPSMT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та захищати прийняті рішення</w:t>
            </w:r>
            <w:r>
              <w:rPr>
                <w:lang w:val="uk-UA"/>
              </w:rPr>
              <w:t>.</w:t>
            </w:r>
          </w:p>
        </w:tc>
      </w:tr>
      <w:tr>
        <w:trPr/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 Light;Arial" w:hAnsi="Calibri Light;Arial" w:cs="Calibri Light;Arial"/>
                <w:b/>
                <w:b/>
                <w:bCs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bCs/>
                <w:lang w:val="uk-UA"/>
              </w:rPr>
              <w:t>7 – Програмні результати навчання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Знання (ЗН)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 xml:space="preserve">1) здатність продемонструвати систематичні знання </w:t>
            </w:r>
            <w:r>
              <w:rPr>
                <w:color w:val="000000"/>
                <w:shd w:fill="FFFFFF" w:val="clear"/>
                <w:lang w:val="uk-UA"/>
              </w:rPr>
              <w:t xml:space="preserve">сучасних методів проведення досліджень </w:t>
            </w:r>
            <w:r>
              <w:rPr>
                <w:lang w:val="uk-UA"/>
              </w:rPr>
              <w:t xml:space="preserve">в області </w:t>
            </w:r>
            <w:r>
              <w:rPr>
                <w:color w:val="000000"/>
                <w:shd w:fill="FFFFFF" w:val="clear"/>
                <w:lang w:val="uk-UA"/>
              </w:rPr>
              <w:t>фізики і астрономії</w:t>
            </w:r>
            <w:r>
              <w:rPr>
                <w:lang w:val="uk-UA"/>
              </w:rPr>
              <w:t>;</w:t>
            </w:r>
          </w:p>
          <w:p>
            <w:pPr>
              <w:pStyle w:val="Normal"/>
              <w:jc w:val="both"/>
              <w:rPr/>
            </w:pPr>
            <w:r>
              <w:rPr>
                <w:rFonts w:cs="TimesNewRoman;MS Mincho"/>
                <w:sz w:val="22"/>
                <w:lang w:val="uk-UA"/>
              </w:rPr>
              <w:t xml:space="preserve">2) </w:t>
            </w:r>
            <w:r>
              <w:rPr>
                <w:lang w:val="uk-UA"/>
              </w:rPr>
              <w:t>здатність продемонструвати поглиблені знання у вибраній області наукових досліджень;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здатність продемонструвати розуміння впливу технічних рішень в суспільному, економічному і соціальному контексті. 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Уміння (УМ)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1)  здійснювати пошук, аналізувати і критично оцінювати інформацію з різних джерел;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2) 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3) досліджувати і моделювати явища та процеси різної складності при вирішенні задач фізики та астрономії;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4) застосовувати системний підхід, інтегруючи знання з інших дисциплін та враховуючи нетехнічні аспекти, підчас розв’язання теоретичних та прикладних задач обраної області наукових досліджень;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5) поєднувати теорію і моделювання, а також приймати рішення та виробляти стратегію розв’язання науково-прикладних задач з урахуванням загальнолюдських цінностей, суспільних, державних та виробничих інтересів;</w:t>
            </w:r>
          </w:p>
          <w:p>
            <w:pPr>
              <w:pStyle w:val="Normal"/>
              <w:rPr/>
            </w:pPr>
            <w:r>
              <w:rPr>
                <w:color w:val="000000"/>
                <w:lang w:val="uk-UA"/>
              </w:rPr>
              <w:t>6)  ефективно працювати як індивідуально, так і у складі команди;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7) самостійно виконувати експериментальні дослідження та застосовувати дослідницькі навички;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8) оцінювати доцільність та можливість застосування нових методів і теоретичних підходів у задачах фізики і астрономії;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9) аргументувати вибір методів розв’язування науково-прикладної задачі, критично оцінювати отримані результати та захищати прийняті рішення.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Комунікація (КОМ)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1) уміння ефективно спілкуватись на професійному та соціальному рівнях;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2) уміння представляти та обговорювати отримані результати та здійснювати трансфер набутих знань.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 Light;Arial" w:ascii="Calibri Light;Arial" w:hAnsi="Calibri Light;Arial"/>
                <w:b/>
                <w:iCs/>
                <w:lang w:val="uk-UA"/>
              </w:rPr>
              <w:t>Автономія і відповідальність (АіВ)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1) </w:t>
            </w:r>
            <w:r>
              <w:rPr/>
              <w:t>Здатність самостійно проводити наукові дослідження та приймати рішення</w:t>
            </w:r>
            <w:r>
              <w:rPr>
                <w:lang w:val="uk-UA"/>
              </w:rPr>
              <w:t>;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2) здатність усвідомлювати необхідність навчання впродовж усього життя з метою поглиблення набутих та здобуття нових фахових знань;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3) здатність відповідально ставитись до виконуваної роботи та до</w:t>
              <w:softHyphen/>
              <w:t>ся</w:t>
              <w:softHyphen/>
              <w:t>гати поставленої мети з дотриманням вимог професійної етики.</w:t>
            </w:r>
          </w:p>
        </w:tc>
      </w:tr>
      <w:tr>
        <w:trPr/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 Light;Arial" w:ascii="Calibri Light;Arial" w:hAnsi="Calibri Light;Arial"/>
                <w:b/>
                <w:bCs/>
                <w:lang w:val="uk-UA"/>
              </w:rPr>
              <w:t>8 – Ресурсне забезпечення реалізації освітньої програми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lang w:val="uk-UA"/>
              </w:rPr>
              <w:t>Специфічні характеристики кадрового забезпечення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100% науково-педагогічних працівників, задіяних до викладання циклу дисциплін, що забезпечують спеціальні (фахові) компетентності аспіранта, мають наукові ступені та вчені звання (як правило – доктори наук).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lang w:val="uk-UA"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 сучасного обладнання для наукових досліджень та розрахунків, зокрема обчислювальний кластер ІФКС НАН України, інтегрований у академічну грід-мережу України (280 ядер, продуктивність 1.7 ТФлопс, кругло добовий доступ).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 Light;Arial" w:ascii="Calibri Light;Arial" w:hAnsi="Calibri Light;Arial"/>
                <w:b/>
                <w:lang w:val="uk-UA"/>
              </w:rPr>
              <w:t>Специфічні характеристики інформаційно-методичного забезпечення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 електронної бібліотеки ІФКС НАН України та програмних продуктів працівників ІФКС НАН України.</w:t>
            </w:r>
          </w:p>
        </w:tc>
      </w:tr>
      <w:tr>
        <w:trPr/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ind w:left="360" w:hanging="0"/>
              <w:jc w:val="center"/>
              <w:rPr/>
            </w:pPr>
            <w:r>
              <w:rPr>
                <w:rFonts w:cs="Calibri Light;Arial" w:ascii="Calibri Light;Arial" w:hAnsi="Calibri Light;Arial"/>
                <w:b/>
                <w:bCs/>
                <w:lang w:val="uk-UA"/>
              </w:rPr>
              <w:t>9 – Академічна мобільність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На основі двосторонніх </w:t>
            </w:r>
            <w:r>
              <w:fldChar w:fldCharType="begin"/>
            </w:r>
            <w:r>
              <w:instrText> HYPERLINK "http://ec.europa.eu/education/opportunities/higher-education/quality-framework_en.htm" \l "inter-institutional_agreements" \n _blank</w:instrText>
            </w:r>
            <w:r>
              <w:fldChar w:fldCharType="separate"/>
            </w:r>
            <w:r>
              <w:rPr>
                <w:rStyle w:val="InternetLink"/>
                <w:lang w:val="uk-UA"/>
              </w:rPr>
              <w:t xml:space="preserve"> договорів</w:t>
            </w:r>
            <w:r>
              <w:fldChar w:fldCharType="end"/>
            </w:r>
            <w:r>
              <w:rPr>
                <w:lang w:val="uk-UA"/>
              </w:rPr>
              <w:t> між ІФКС НАН України та університетами і академічними установами України.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У рамках програми ЄС Еразмус+ на основі двосторонніх </w:t>
            </w:r>
            <w:r>
              <w:fldChar w:fldCharType="begin"/>
            </w:r>
            <w:r>
              <w:instrText> HYPERLINK "http://ec.europa.eu/education/opportunities/higher-education/quality-framework_en.htm" \l "inter-institutional_agreements" \n _blank</w:instrText>
            </w:r>
            <w:r>
              <w:fldChar w:fldCharType="separate"/>
            </w:r>
            <w:r>
              <w:rPr>
                <w:rStyle w:val="InternetLink"/>
                <w:lang w:val="uk-UA"/>
              </w:rPr>
              <w:t xml:space="preserve"> договорів</w:t>
            </w:r>
            <w:r>
              <w:fldChar w:fldCharType="end"/>
            </w:r>
            <w:r>
              <w:rPr>
                <w:lang w:val="uk-UA"/>
              </w:rPr>
              <w:t> між ІФКС НАН України та навчальними закладами країн-партнерів.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 Light;Arial" w:hAnsi="Calibri Light;Arial" w:cs="Calibri Light;Arial"/>
                <w:b/>
                <w:b/>
                <w:lang w:val="uk-UA"/>
              </w:rPr>
            </w:pPr>
            <w:r>
              <w:rPr>
                <w:rFonts w:cs="Calibri Light;Arial" w:ascii="Calibri Light;Arial" w:hAnsi="Calibri Light;Arial"/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Можливе.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</w:p>
    <w:p>
      <w:pPr>
        <w:pStyle w:val="Normal"/>
        <w:rPr>
          <w:b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</w:p>
    <w:p>
      <w:pPr>
        <w:pStyle w:val="Normal"/>
        <w:rPr>
          <w:b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</w:p>
    <w:p>
      <w:pPr>
        <w:pStyle w:val="Normal"/>
        <w:rPr>
          <w:b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</w:p>
    <w:p>
      <w:pPr>
        <w:pStyle w:val="Normal"/>
        <w:rPr>
          <w:b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</w:p>
    <w:p>
      <w:pPr>
        <w:pStyle w:val="Normal"/>
        <w:rPr>
          <w:b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b/>
          <w:bCs/>
          <w:color w:val="000000"/>
          <w:sz w:val="28"/>
          <w:szCs w:val="28"/>
        </w:rPr>
        <w:t xml:space="preserve">Розподіл змісту </w:t>
        <w:br/>
        <w:t>освітньої складової освітньо-наукової програми</w:t>
        <w:br/>
        <w:t>за групами компонентів та циклами підготовки</w:t>
      </w:r>
    </w:p>
    <w:p>
      <w:pPr>
        <w:pStyle w:val="Normal"/>
        <w:jc w:val="center"/>
        <w:rPr>
          <w:b/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</w:r>
    </w:p>
    <w:tbl>
      <w:tblPr>
        <w:tblW w:w="986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8"/>
        <w:gridCol w:w="3292"/>
        <w:gridCol w:w="1971"/>
        <w:gridCol w:w="1971"/>
        <w:gridCol w:w="1981"/>
      </w:tblGrid>
      <w:tr>
        <w:trPr>
          <w:cantSplit w:val="true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0"/>
                <w:sz w:val="24"/>
                <w:szCs w:val="24"/>
                <w:lang w:val="uk-UA"/>
              </w:rPr>
              <w:t xml:space="preserve">№ </w:t>
            </w:r>
            <w:r>
              <w:rPr>
                <w:spacing w:val="2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0"/>
                <w:sz w:val="24"/>
                <w:szCs w:val="24"/>
                <w:lang w:val="uk-UA"/>
              </w:rPr>
              <w:t>Цикли підготовки</w:t>
            </w:r>
          </w:p>
        </w:tc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0"/>
                <w:sz w:val="24"/>
                <w:szCs w:val="24"/>
                <w:lang w:val="uk-UA"/>
              </w:rPr>
              <w:t>Обсяг навчального навантаження аспіранта (кредитів / %)</w:t>
            </w:r>
          </w:p>
        </w:tc>
      </w:tr>
      <w:tr>
        <w:trPr>
          <w:cantSplit w:val="true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pacing w:val="20"/>
                <w:sz w:val="22"/>
                <w:szCs w:val="22"/>
                <w:lang w:val="uk-UA"/>
              </w:rPr>
            </w:pPr>
            <w:r>
              <w:rPr>
                <w:spacing w:val="20"/>
                <w:sz w:val="22"/>
                <w:szCs w:val="22"/>
                <w:lang w:val="uk-UA"/>
              </w:rPr>
            </w:r>
          </w:p>
        </w:tc>
        <w:tc>
          <w:tcPr>
            <w:tcW w:w="3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pacing w:val="20"/>
                <w:sz w:val="22"/>
                <w:szCs w:val="22"/>
                <w:lang w:val="uk-UA"/>
              </w:rPr>
            </w:pPr>
            <w:r>
              <w:rPr>
                <w:spacing w:val="20"/>
                <w:sz w:val="22"/>
                <w:szCs w:val="22"/>
                <w:lang w:val="uk-UA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0"/>
                <w:sz w:val="22"/>
                <w:szCs w:val="22"/>
                <w:lang w:val="uk-UA"/>
              </w:rPr>
              <w:t>Обов’</w:t>
            </w:r>
            <w:r>
              <w:rPr>
                <w:spacing w:val="20"/>
                <w:sz w:val="22"/>
                <w:szCs w:val="22"/>
              </w:rPr>
              <w:t>язкові</w:t>
            </w:r>
            <w:r>
              <w:rPr>
                <w:spacing w:val="20"/>
                <w:sz w:val="22"/>
                <w:szCs w:val="22"/>
                <w:lang w:val="uk-UA"/>
              </w:rPr>
              <w:t xml:space="preserve"> компоненти освітньої</w:t>
            </w:r>
          </w:p>
          <w:p>
            <w:pPr>
              <w:pStyle w:val="Normal"/>
              <w:jc w:val="center"/>
              <w:rPr>
                <w:spacing w:val="20"/>
                <w:sz w:val="22"/>
                <w:szCs w:val="22"/>
                <w:lang w:val="uk-UA"/>
              </w:rPr>
            </w:pPr>
            <w:r>
              <w:rPr>
                <w:spacing w:val="20"/>
                <w:sz w:val="22"/>
                <w:szCs w:val="22"/>
                <w:lang w:val="uk-UA"/>
              </w:rPr>
              <w:t xml:space="preserve">складової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pacing w:val="20"/>
                <w:sz w:val="22"/>
                <w:szCs w:val="22"/>
                <w:lang w:val="uk-UA"/>
              </w:rPr>
            </w:pPr>
            <w:r>
              <w:rPr>
                <w:spacing w:val="20"/>
                <w:sz w:val="22"/>
                <w:szCs w:val="22"/>
                <w:lang w:val="uk-UA"/>
              </w:rPr>
              <w:t>Вибіркові компоненти освітньої</w:t>
            </w:r>
          </w:p>
          <w:p>
            <w:pPr>
              <w:pStyle w:val="Normal"/>
              <w:jc w:val="center"/>
              <w:rPr>
                <w:spacing w:val="20"/>
                <w:sz w:val="22"/>
                <w:szCs w:val="22"/>
                <w:lang w:val="uk-UA"/>
              </w:rPr>
            </w:pPr>
            <w:r>
              <w:rPr>
                <w:spacing w:val="20"/>
                <w:sz w:val="22"/>
                <w:szCs w:val="22"/>
                <w:lang w:val="uk-UA"/>
              </w:rPr>
              <w:t xml:space="preserve">складової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pacing w:val="20"/>
                <w:sz w:val="22"/>
                <w:szCs w:val="22"/>
                <w:lang w:val="uk-UA"/>
              </w:rPr>
            </w:pPr>
            <w:r>
              <w:rPr>
                <w:spacing w:val="20"/>
                <w:sz w:val="22"/>
                <w:szCs w:val="22"/>
                <w:lang w:val="uk-UA"/>
              </w:rPr>
              <w:t>Всього за весь термін навчання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pacing w:val="20"/>
                <w:sz w:val="24"/>
                <w:szCs w:val="24"/>
                <w:lang w:val="uk-UA"/>
              </w:rPr>
            </w:pPr>
            <w:r>
              <w:rPr>
                <w:rFonts w:cs="Arial" w:ascii="Arial" w:hAnsi="Arial"/>
                <w:spacing w:val="2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Цикл дисциплін, </w:t>
            </w:r>
            <w:r>
              <w:rPr>
                <w:rFonts w:cs="Arial" w:ascii="Arial" w:hAnsi="Arial"/>
                <w:sz w:val="22"/>
                <w:szCs w:val="22"/>
              </w:rPr>
              <w:t>що формують загальнонаукові компетентності та універсальні навички дослідника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pacing w:val="20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i/>
                <w:spacing w:val="20"/>
                <w:sz w:val="24"/>
                <w:szCs w:val="24"/>
                <w:lang w:val="en-US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pacing w:val="20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i/>
                <w:spacing w:val="2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pacing w:val="20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i/>
                <w:spacing w:val="20"/>
                <w:sz w:val="24"/>
                <w:szCs w:val="24"/>
                <w:lang w:val="en-US"/>
              </w:rPr>
              <w:t>14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pacing w:val="20"/>
                <w:sz w:val="24"/>
                <w:szCs w:val="24"/>
                <w:lang w:val="uk-UA"/>
              </w:rPr>
            </w:pPr>
            <w:r>
              <w:rPr>
                <w:rFonts w:cs="Arial" w:ascii="Arial" w:hAnsi="Arial"/>
                <w:spacing w:val="20"/>
                <w:sz w:val="24"/>
                <w:szCs w:val="24"/>
                <w:lang w:val="uk-UA"/>
              </w:rPr>
              <w:t>2.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Цикл дисциплін, що формують фахові компетентності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pacing w:val="20"/>
                <w:sz w:val="24"/>
                <w:szCs w:val="24"/>
                <w:lang w:val="uk-UA"/>
              </w:rPr>
            </w:pPr>
            <w:r>
              <w:rPr>
                <w:rFonts w:cs="Arial" w:ascii="Arial" w:hAnsi="Arial"/>
                <w:i/>
                <w:spacing w:val="2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pacing w:val="20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i/>
                <w:spacing w:val="2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pacing w:val="20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i/>
                <w:spacing w:val="20"/>
                <w:sz w:val="24"/>
                <w:szCs w:val="24"/>
                <w:lang w:val="en-US"/>
              </w:rPr>
              <w:t>26</w:t>
            </w:r>
          </w:p>
        </w:tc>
      </w:tr>
      <w:tr>
        <w:trPr/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pacing w:val="20"/>
                <w:sz w:val="24"/>
                <w:szCs w:val="24"/>
                <w:lang w:val="uk-UA"/>
              </w:rPr>
            </w:pPr>
            <w:r>
              <w:rPr>
                <w:spacing w:val="20"/>
                <w:sz w:val="24"/>
                <w:szCs w:val="24"/>
                <w:lang w:val="uk-UA"/>
              </w:rPr>
              <w:t>Всього за весь термін навчання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pacing w:val="20"/>
                <w:sz w:val="24"/>
                <w:szCs w:val="24"/>
                <w:lang w:val="en-US"/>
              </w:rPr>
              <w:t>28</w:t>
            </w:r>
            <w:r>
              <w:rPr>
                <w:i/>
                <w:spacing w:val="20"/>
                <w:sz w:val="24"/>
                <w:szCs w:val="24"/>
                <w:lang w:val="uk-UA"/>
              </w:rPr>
              <w:t>/</w:t>
            </w:r>
            <w:r>
              <w:rPr>
                <w:i/>
                <w:spacing w:val="20"/>
                <w:sz w:val="24"/>
                <w:szCs w:val="24"/>
                <w:lang w:val="en-US"/>
              </w:rPr>
              <w:t>7</w:t>
            </w:r>
            <w:r>
              <w:rPr>
                <w:i/>
                <w:spacing w:val="2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pacing w:val="20"/>
                <w:sz w:val="24"/>
                <w:szCs w:val="24"/>
                <w:lang w:val="en-US"/>
              </w:rPr>
              <w:t>12</w:t>
            </w:r>
            <w:r>
              <w:rPr>
                <w:i/>
                <w:spacing w:val="20"/>
                <w:sz w:val="24"/>
                <w:szCs w:val="24"/>
                <w:lang w:val="uk-UA"/>
              </w:rPr>
              <w:t>/</w:t>
            </w:r>
            <w:r>
              <w:rPr>
                <w:i/>
                <w:spacing w:val="20"/>
                <w:sz w:val="24"/>
                <w:szCs w:val="24"/>
                <w:lang w:val="en-US"/>
              </w:rPr>
              <w:t>3</w:t>
            </w:r>
            <w:r>
              <w:rPr>
                <w:i/>
                <w:spacing w:val="2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pacing w:val="20"/>
                <w:sz w:val="24"/>
                <w:szCs w:val="24"/>
                <w:lang w:val="en-US"/>
              </w:rPr>
              <w:t>4</w:t>
            </w:r>
            <w:r>
              <w:rPr>
                <w:i/>
                <w:spacing w:val="20"/>
                <w:sz w:val="24"/>
                <w:szCs w:val="24"/>
                <w:lang w:val="uk-UA"/>
              </w:rPr>
              <w:t>0/100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  <w:lang w:val="uk-UA"/>
        </w:rPr>
      </w:pPr>
      <w:r>
        <w:rPr>
          <w:rFonts w:cs="Arial" w:ascii="Arial" w:hAnsi="Arial"/>
          <w:b/>
          <w:sz w:val="16"/>
          <w:szCs w:val="16"/>
          <w:lang w:val="uk-UA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  <w:lang w:val="uk-UA"/>
        </w:rPr>
      </w:pPr>
      <w:r>
        <w:rPr>
          <w:rFonts w:cs="Arial" w:ascii="Arial" w:hAnsi="Arial"/>
          <w:b/>
          <w:sz w:val="16"/>
          <w:szCs w:val="16"/>
          <w:lang w:val="uk-UA"/>
        </w:rPr>
      </w:r>
    </w:p>
    <w:p>
      <w:pPr>
        <w:pStyle w:val="Normal"/>
        <w:numPr>
          <w:ilvl w:val="0"/>
          <w:numId w:val="3"/>
        </w:numPr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компонентів освітньої складової освітньо-наукової програми</w:t>
      </w:r>
    </w:p>
    <w:p>
      <w:pPr>
        <w:pStyle w:val="Normal"/>
        <w:suppressAutoHyphens w:val="true"/>
        <w:ind w:left="72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115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200"/>
        <w:gridCol w:w="5880"/>
        <w:gridCol w:w="1470"/>
        <w:gridCol w:w="1565"/>
      </w:tblGrid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н/д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Компоненти освітньої складової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Кількість кредитів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підсумк. контролю</w:t>
            </w:r>
          </w:p>
        </w:tc>
      </w:tr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>
        <w:trPr/>
        <w:tc>
          <w:tcPr>
            <w:tcW w:w="101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center"/>
              <w:rPr/>
            </w:pPr>
            <w:r>
              <w:rPr>
                <w:b/>
                <w:sz w:val="23"/>
                <w:szCs w:val="23"/>
              </w:rPr>
              <w:t>Обов’язкові компоненти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освітньої складової</w:t>
            </w:r>
          </w:p>
        </w:tc>
      </w:tr>
      <w:tr>
        <w:trPr/>
        <w:tc>
          <w:tcPr>
            <w:tcW w:w="101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1"/>
                <w:numId w:val="4"/>
              </w:numPr>
              <w:suppressAutoHyphens w:val="true"/>
              <w:snapToGrid w:val="false"/>
              <w:jc w:val="center"/>
              <w:rPr/>
            </w:pPr>
            <w:r>
              <w:rPr>
                <w:i/>
                <w:sz w:val="23"/>
                <w:szCs w:val="23"/>
              </w:rPr>
              <w:t>Цикл дисциплін, що формують загальнонаукові</w:t>
            </w:r>
            <w:r>
              <w:rPr>
                <w:bCs/>
                <w:i/>
                <w:sz w:val="23"/>
                <w:szCs w:val="23"/>
              </w:rPr>
              <w:t xml:space="preserve"> компетентності та універсальні навички дослідника</w:t>
            </w:r>
          </w:p>
        </w:tc>
      </w:tr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ОК1.1.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19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Філософія і методологія науки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Екзамен</w:t>
            </w:r>
          </w:p>
        </w:tc>
      </w:tr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ОК1.2.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192"/>
              <w:jc w:val="both"/>
              <w:rPr/>
            </w:pPr>
            <w:r>
              <w:rPr>
                <w:sz w:val="23"/>
                <w:szCs w:val="23"/>
                <w:lang w:val="uk-UA"/>
              </w:rPr>
              <w:t>Іноземна</w:t>
            </w:r>
            <w:r>
              <w:rPr>
                <w:sz w:val="23"/>
                <w:szCs w:val="23"/>
              </w:rPr>
              <w:t xml:space="preserve"> мова для академічних цілей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Екзамен</w:t>
            </w:r>
          </w:p>
        </w:tc>
      </w:tr>
      <w:tr>
        <w:trPr/>
        <w:tc>
          <w:tcPr>
            <w:tcW w:w="7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252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Всього за цикл: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</w:r>
          </w:p>
        </w:tc>
      </w:tr>
      <w:tr>
        <w:trPr/>
        <w:tc>
          <w:tcPr>
            <w:tcW w:w="101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1"/>
                <w:numId w:val="4"/>
              </w:numPr>
              <w:suppressAutoHyphens w:val="true"/>
              <w:snapToGrid w:val="false"/>
              <w:jc w:val="center"/>
              <w:rPr/>
            </w:pPr>
            <w:r>
              <w:rPr>
                <w:i/>
                <w:sz w:val="23"/>
                <w:szCs w:val="23"/>
              </w:rPr>
              <w:t xml:space="preserve">Цикл дисциплін, що формують </w:t>
            </w:r>
            <w:r>
              <w:rPr>
                <w:bCs/>
                <w:i/>
                <w:sz w:val="23"/>
                <w:szCs w:val="23"/>
              </w:rPr>
              <w:t xml:space="preserve">фахові компетентності </w:t>
            </w:r>
          </w:p>
        </w:tc>
      </w:tr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ОК2.1.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192"/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Нерівноважна статистична фізика і фізична кінетика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Екзамен</w:t>
            </w:r>
          </w:p>
        </w:tc>
      </w:tr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ОК2.2.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192"/>
              <w:jc w:val="both"/>
              <w:rPr/>
            </w:pPr>
            <w:r>
              <w:rPr>
                <w:iCs/>
                <w:color w:val="000000"/>
                <w:sz w:val="23"/>
                <w:szCs w:val="23"/>
                <w:lang w:val="uk-UA"/>
              </w:rPr>
              <w:t>Фізика конденсованого стану і сильно-скорельованих систем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Екзамен</w:t>
            </w:r>
          </w:p>
        </w:tc>
      </w:tr>
      <w:tr>
        <w:trPr>
          <w:trHeight w:val="211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ОК2.3.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3"/>
                <w:szCs w:val="23"/>
                <w:lang w:val="uk-UA"/>
              </w:rPr>
              <w:t>Фізика м’</w:t>
            </w:r>
            <w:r>
              <w:rPr>
                <w:sz w:val="23"/>
                <w:szCs w:val="23"/>
                <w:lang w:val="en-US"/>
              </w:rPr>
              <w:t>якої речовини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Екзамен</w:t>
            </w:r>
          </w:p>
        </w:tc>
      </w:tr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ОК2.4.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3"/>
                <w:szCs w:val="23"/>
                <w:lang w:val="uk-UA"/>
              </w:rPr>
              <w:t>Комп’</w:t>
            </w:r>
            <w:r>
              <w:rPr>
                <w:sz w:val="23"/>
                <w:szCs w:val="23"/>
              </w:rPr>
              <w:t>ютерне моделюванн</w:t>
            </w:r>
            <w:r>
              <w:rPr>
                <w:sz w:val="23"/>
                <w:szCs w:val="23"/>
                <w:lang w:val="uk-UA"/>
              </w:rPr>
              <w:t>я фізичних процесів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Екзамен</w:t>
            </w:r>
          </w:p>
        </w:tc>
      </w:tr>
      <w:tr>
        <w:trPr/>
        <w:tc>
          <w:tcPr>
            <w:tcW w:w="70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114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Всього за цикл: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</w:r>
          </w:p>
        </w:tc>
      </w:tr>
      <w:tr>
        <w:trPr/>
        <w:tc>
          <w:tcPr>
            <w:tcW w:w="1011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center"/>
              <w:rPr/>
            </w:pPr>
            <w:r>
              <w:rPr>
                <w:b/>
                <w:sz w:val="23"/>
                <w:szCs w:val="23"/>
              </w:rPr>
              <w:t>Вибіркові компоненти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освітньої складової</w:t>
            </w:r>
            <w:r>
              <w:rPr>
                <w:b/>
                <w:sz w:val="23"/>
                <w:szCs w:val="23"/>
                <w:lang w:val="uk-UA"/>
              </w:rPr>
              <w:t>*</w:t>
            </w:r>
          </w:p>
        </w:tc>
      </w:tr>
      <w:tr>
        <w:trPr/>
        <w:tc>
          <w:tcPr>
            <w:tcW w:w="1011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1"/>
                <w:numId w:val="4"/>
              </w:numPr>
              <w:snapToGrid w:val="false"/>
              <w:jc w:val="center"/>
              <w:rPr/>
            </w:pPr>
            <w:r>
              <w:rPr>
                <w:i/>
                <w:sz w:val="23"/>
                <w:szCs w:val="23"/>
              </w:rPr>
              <w:t>Цикл дисциплін, що формують загальнонаукові</w:t>
            </w:r>
            <w:r>
              <w:rPr>
                <w:bCs/>
                <w:i/>
                <w:sz w:val="23"/>
                <w:szCs w:val="23"/>
              </w:rPr>
              <w:t xml:space="preserve"> компетентності та універсальні навички дослідника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ВБ1.1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9" w:leader="none"/>
                <w:tab w:val="left" w:pos="322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Сучасні тенденції розвитку фізичних досліджень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диф. залік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ВБ1.</w:t>
            </w:r>
            <w:r>
              <w:rPr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Управління науковими проектами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диф. залік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ВБ1.</w:t>
            </w:r>
            <w:r>
              <w:rPr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Методика написання та оформлення наукових статей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недиф. залік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ВБ1.</w:t>
            </w:r>
            <w:r>
              <w:rPr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3"/>
                <w:szCs w:val="23"/>
              </w:rPr>
              <w:t xml:space="preserve">Комп’ютерна мова </w:t>
            </w:r>
            <w:r>
              <w:rPr>
                <w:sz w:val="23"/>
                <w:szCs w:val="23"/>
                <w:lang w:val="en-US"/>
              </w:rPr>
              <w:t>LaTex</w:t>
            </w:r>
            <w:r>
              <w:rPr>
                <w:sz w:val="23"/>
                <w:szCs w:val="23"/>
              </w:rPr>
              <w:t xml:space="preserve"> для наукових публ</w:t>
            </w:r>
            <w:r>
              <w:rPr>
                <w:sz w:val="23"/>
                <w:szCs w:val="23"/>
                <w:lang w:val="uk-UA"/>
              </w:rPr>
              <w:t>і</w:t>
            </w:r>
            <w:r>
              <w:rPr>
                <w:sz w:val="23"/>
                <w:szCs w:val="23"/>
              </w:rPr>
              <w:t>кац</w:t>
            </w:r>
            <w:r>
              <w:rPr>
                <w:sz w:val="23"/>
                <w:szCs w:val="23"/>
                <w:lang w:val="uk-UA"/>
              </w:rPr>
              <w:t>і</w:t>
            </w:r>
            <w:r>
              <w:rPr>
                <w:sz w:val="23"/>
                <w:szCs w:val="23"/>
              </w:rPr>
              <w:t>й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недиф. залік</w:t>
            </w:r>
          </w:p>
        </w:tc>
      </w:tr>
      <w:tr>
        <w:trPr/>
        <w:tc>
          <w:tcPr>
            <w:tcW w:w="70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Всього за цикл: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</w:r>
          </w:p>
        </w:tc>
      </w:tr>
      <w:tr>
        <w:trPr/>
        <w:tc>
          <w:tcPr>
            <w:tcW w:w="101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1"/>
                <w:numId w:val="4"/>
              </w:numPr>
              <w:snapToGrid w:val="false"/>
              <w:jc w:val="center"/>
              <w:rPr/>
            </w:pPr>
            <w:r>
              <w:rPr>
                <w:i/>
                <w:sz w:val="23"/>
                <w:szCs w:val="23"/>
                <w:lang w:val="uk-UA"/>
              </w:rPr>
              <w:t xml:space="preserve">Цикл дисциплін, що формують </w:t>
            </w:r>
            <w:r>
              <w:rPr>
                <w:bCs/>
                <w:i/>
                <w:sz w:val="23"/>
                <w:szCs w:val="23"/>
                <w:lang w:val="uk-UA"/>
              </w:rPr>
              <w:t>фахові компетентності</w:t>
            </w:r>
          </w:p>
        </w:tc>
      </w:tr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ВБ2.1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Спеціальні розділи статистичної фізики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Екзамен</w:t>
            </w:r>
          </w:p>
        </w:tc>
      </w:tr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ВБ2.2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Style14"/>
              <w:spacing w:before="0" w:after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Теорія магнітних систем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Екзамен</w:t>
            </w:r>
          </w:p>
        </w:tc>
      </w:tr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ВБ2.3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Методи квантової хімії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Екзамен</w:t>
            </w:r>
          </w:p>
        </w:tc>
      </w:tr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ВБ2.4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Cs/>
                <w:color w:val="000000"/>
                <w:sz w:val="23"/>
                <w:szCs w:val="23"/>
                <w:lang w:val="uk-UA"/>
              </w:rPr>
            </w:pPr>
            <w:r>
              <w:rPr>
                <w:iCs/>
                <w:color w:val="000000"/>
                <w:sz w:val="23"/>
                <w:szCs w:val="23"/>
                <w:lang w:val="uk-UA"/>
              </w:rPr>
              <w:t xml:space="preserve">Фазові переходи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</w:rPr>
              <w:t>Екзамен</w:t>
            </w:r>
          </w:p>
        </w:tc>
      </w:tr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3"/>
                <w:szCs w:val="23"/>
              </w:rPr>
              <w:t>ВБ2.</w:t>
            </w: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Cs/>
                <w:color w:val="000000"/>
                <w:sz w:val="23"/>
                <w:szCs w:val="23"/>
                <w:lang w:val="uk-UA"/>
              </w:rPr>
            </w:pPr>
            <w:r>
              <w:rPr>
                <w:iCs/>
                <w:color w:val="000000"/>
                <w:sz w:val="23"/>
                <w:szCs w:val="23"/>
                <w:lang w:val="uk-UA"/>
              </w:rPr>
              <w:t>Методика розрахунків в рамках теорії функціоналу густини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3"/>
                <w:szCs w:val="23"/>
                <w:lang w:val="uk-UA"/>
              </w:rPr>
              <w:t>Екзамен</w:t>
            </w:r>
          </w:p>
        </w:tc>
      </w:tr>
      <w:tr>
        <w:trPr/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3"/>
                <w:szCs w:val="23"/>
              </w:rPr>
              <w:t>ВБ2.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Основи фізики рідкого стану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Екзамен</w:t>
            </w:r>
          </w:p>
        </w:tc>
      </w:tr>
      <w:tr>
        <w:trPr/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3"/>
                <w:szCs w:val="23"/>
              </w:rPr>
              <w:t>ВБ2.</w:t>
            </w:r>
            <w:r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58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Комп'ютерне моделювання біофізичних та біохімічних</w:t>
            </w:r>
          </w:p>
          <w:p>
            <w:pPr>
              <w:pStyle w:val="Normal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систем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  <w:lang w:val="uk-UA"/>
              </w:rPr>
            </w:pPr>
            <w:bookmarkStart w:id="0" w:name="__DdeLink__4_819782992"/>
            <w:bookmarkEnd w:id="0"/>
            <w:r>
              <w:rPr>
                <w:color w:val="000000"/>
                <w:sz w:val="23"/>
                <w:szCs w:val="23"/>
                <w:lang w:val="uk-UA"/>
              </w:rPr>
              <w:t>Екзамен</w:t>
            </w:r>
          </w:p>
        </w:tc>
      </w:tr>
      <w:tr>
        <w:trPr/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3"/>
                <w:szCs w:val="23"/>
              </w:rPr>
              <w:t>ВБ2.</w:t>
            </w:r>
            <w:r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58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Моделювання методами першопринципної молекулярної</w:t>
            </w:r>
          </w:p>
          <w:p>
            <w:pPr>
              <w:pStyle w:val="Normal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динаміки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Екзамен</w:t>
            </w:r>
          </w:p>
        </w:tc>
      </w:tr>
      <w:tr>
        <w:trPr/>
        <w:tc>
          <w:tcPr>
            <w:tcW w:w="7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Всього за цикл: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color w:val="000000"/>
                <w:sz w:val="23"/>
                <w:szCs w:val="23"/>
                <w:lang w:val="en-US"/>
              </w:rPr>
            </w:r>
          </w:p>
        </w:tc>
      </w:tr>
      <w:tr>
        <w:trPr/>
        <w:tc>
          <w:tcPr>
            <w:tcW w:w="7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РАЗОМ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Примітка: </w:t>
      </w:r>
    </w:p>
    <w:p>
      <w:pPr>
        <w:pStyle w:val="Normal"/>
        <w:ind w:firstLine="708"/>
        <w:rPr/>
      </w:pPr>
      <w:r>
        <w:rPr>
          <w:sz w:val="19"/>
          <w:szCs w:val="19"/>
        </w:rPr>
        <w:t>* - аспірант має  змогу обрати дисципліни з п. 1.2; п.2.2 (вибіркові ), при цьому частка цих предметів повинна складати не менше як 25 % загальної кількості кредитів ЄКТС.</w:t>
      </w:r>
    </w:p>
    <w:p>
      <w:pPr>
        <w:pStyle w:val="Normal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Calibri Light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TimesNewRomanPSMT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lang w:val="uk-U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lang w:val="uk-UA"/>
      </w:rPr>
    </w:lvl>
  </w:abstractNum>
  <w:abstractNum w:abstractNumId="3">
    <w:lvl w:ilvl="0">
      <w:start w:val="2"/>
      <w:numFmt w:val="decimal"/>
      <w:lvlText w:val="%1."/>
      <w:lvlJc w:val="left"/>
      <w:pPr>
        <w:ind w:left="1080" w:hanging="360"/>
      </w:pPr>
      <w:rPr>
        <w:caps/>
        <w:sz w:val="28"/>
        <w:b/>
        <w:szCs w:val="28"/>
        <w:bCs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2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WW8Num1z0">
    <w:name w:val="WW8Num1z0"/>
    <w:qFormat/>
    <w:rPr>
      <w:rFonts w:cs="Times New Roman"/>
      <w:lang w:val="uk-UA"/>
    </w:rPr>
  </w:style>
  <w:style w:type="character" w:styleId="WW8Num17z0">
    <w:name w:val="WW8Num17z0"/>
    <w:qFormat/>
    <w:rPr>
      <w:rFonts w:cs="Times New Roman"/>
      <w:lang w:val="uk-UA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WW8Num8z0">
    <w:name w:val="WW8Num8z0"/>
    <w:qFormat/>
    <w:rPr>
      <w:b/>
      <w:bCs/>
      <w:caps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7z0">
    <w:name w:val="WW8Num7z0"/>
    <w:qFormat/>
    <w:rPr>
      <w:b/>
      <w:i/>
    </w:rPr>
  </w:style>
  <w:style w:type="character" w:styleId="WW8Num7z1">
    <w:name w:val="WW8Num7z1"/>
    <w:qFormat/>
    <w:rPr>
      <w:b w:val="false"/>
    </w:rPr>
  </w:style>
  <w:style w:type="character" w:styleId="WW8Num7z2">
    <w:name w:val="WW8Num7z2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numbering" w:styleId="WW8Num1">
    <w:name w:val="WW8Num1"/>
    <w:qFormat/>
  </w:style>
  <w:style w:type="numbering" w:styleId="WW8Num17">
    <w:name w:val="WW8Num17"/>
    <w:qFormat/>
  </w:style>
  <w:style w:type="numbering" w:styleId="WW8Num8">
    <w:name w:val="WW8Num8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6</Pages>
  <Words>1400</Words>
  <Characters>9934</Characters>
  <CharactersWithSpaces>11124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2020-06-23T11:13:23Z</dcterms:created>
  <dc:creator/>
  <dc:description/>
  <dc:language>en-US</dc:language>
  <cp:lastModifiedBy/>
  <dcterms:modified xsi:type="dcterms:W3CDTF">2020-06-23T11:18:02Z</dcterms:modified>
  <cp:revision>1</cp:revision>
  <dc:subject/>
  <dc:title/>
</cp:coreProperties>
</file>